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8"/>
      </w:tblGrid>
      <w:tr w:rsidR="00477FF5" w:rsidRPr="001D11BC" w:rsidTr="009E786E">
        <w:tc>
          <w:tcPr>
            <w:tcW w:w="9778" w:type="dxa"/>
            <w:shd w:val="clear" w:color="auto" w:fill="auto"/>
          </w:tcPr>
          <w:p w:rsidR="00477FF5" w:rsidRPr="001D11BC" w:rsidRDefault="0043177E" w:rsidP="0043177E">
            <w:pPr>
              <w:contextualSpacing/>
              <w:rPr>
                <w:rFonts w:ascii="Times New Roman" w:hAnsi="Times New Roman" w:cs="Times New Roman"/>
                <w:b/>
                <w:color w:val="FF0000"/>
                <w:sz w:val="24"/>
                <w:szCs w:val="24"/>
              </w:rPr>
            </w:pPr>
            <w:r w:rsidRPr="00AD5339">
              <w:rPr>
                <w:rFonts w:ascii="Times New Roman" w:hAnsi="Times New Roman" w:cs="Times New Roman"/>
                <w:b/>
                <w:sz w:val="24"/>
                <w:szCs w:val="24"/>
              </w:rPr>
              <w:t>LOTTO 21 - SISTEMA PER EMOCOLTURE PER LA RICERCA DI BATTERI E FUNGHI E RELATIVI TERRENI DI COLTURA SOLIDI E LIQUIDI</w:t>
            </w:r>
          </w:p>
        </w:tc>
      </w:tr>
    </w:tbl>
    <w:p w:rsidR="00477FF5" w:rsidRPr="00516377" w:rsidRDefault="00477FF5" w:rsidP="00477FF5">
      <w:pPr>
        <w:contextualSpacing/>
        <w:jc w:val="both"/>
        <w:rPr>
          <w:rFonts w:ascii="Times New Roman" w:hAnsi="Times New Roman" w:cs="Times New Roman"/>
          <w:sz w:val="24"/>
          <w:szCs w:val="24"/>
        </w:rPr>
      </w:pPr>
    </w:p>
    <w:p w:rsidR="00477FF5" w:rsidRDefault="00477FF5" w:rsidP="00477FF5">
      <w:pPr>
        <w:spacing w:after="120"/>
        <w:contextualSpacing/>
        <w:jc w:val="both"/>
        <w:rPr>
          <w:rFonts w:ascii="Times New Roman" w:hAnsi="Times New Roman" w:cs="Times New Roman"/>
          <w:bCs/>
          <w:sz w:val="24"/>
          <w:szCs w:val="24"/>
        </w:rPr>
      </w:pPr>
      <w:bookmarkStart w:id="0" w:name="_Toc98168062"/>
      <w:bookmarkEnd w:id="0"/>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43177E" w:rsidRPr="00EF598A" w:rsidRDefault="0043177E" w:rsidP="0043177E">
            <w:pPr>
              <w:pStyle w:val="Paragrafoelenco"/>
              <w:widowControl/>
              <w:numPr>
                <w:ilvl w:val="0"/>
                <w:numId w:val="1"/>
              </w:numPr>
              <w:suppressAutoHyphens w:val="0"/>
              <w:autoSpaceDE/>
              <w:spacing w:before="80" w:after="160"/>
              <w:contextualSpacing/>
              <w:rPr>
                <w:rFonts w:ascii="Times New Roman" w:hAnsi="Times New Roman" w:cs="Times New Roman"/>
              </w:rPr>
            </w:pPr>
            <w:r w:rsidRPr="00EF598A">
              <w:rPr>
                <w:rFonts w:ascii="Times New Roman" w:hAnsi="Times New Roman" w:cs="Times New Roman"/>
                <w:b/>
                <w:bCs/>
                <w:sz w:val="24"/>
                <w:szCs w:val="24"/>
              </w:rPr>
              <w:t>Sistema diagnostico automatico per emocolture e altri liquidi biologici:</w:t>
            </w:r>
          </w:p>
          <w:p w:rsidR="0043177E" w:rsidRPr="00EF598A" w:rsidRDefault="0043177E" w:rsidP="0043177E">
            <w:pPr>
              <w:pStyle w:val="Paragrafoelenco"/>
              <w:rPr>
                <w:rFonts w:ascii="Times New Roman" w:hAnsi="Times New Roman" w:cs="Times New Roman"/>
              </w:rPr>
            </w:pPr>
            <w:r w:rsidRPr="00EF598A">
              <w:rPr>
                <w:rFonts w:ascii="Times New Roman" w:hAnsi="Times New Roman" w:cs="Times New Roman"/>
                <w:sz w:val="24"/>
                <w:szCs w:val="24"/>
              </w:rPr>
              <w:t>L’offerta dovrà comprendere la seguente tipologia dei seguenti materiali;</w:t>
            </w:r>
          </w:p>
          <w:p w:rsidR="0043177E" w:rsidRPr="00EF598A" w:rsidRDefault="0043177E" w:rsidP="0043177E">
            <w:pPr>
              <w:pStyle w:val="Paragrafoelenco"/>
              <w:widowControl/>
              <w:numPr>
                <w:ilvl w:val="0"/>
                <w:numId w:val="2"/>
              </w:numPr>
              <w:autoSpaceDE/>
              <w:spacing w:after="160"/>
              <w:contextualSpacing/>
              <w:rPr>
                <w:rFonts w:ascii="Times New Roman" w:hAnsi="Times New Roman" w:cs="Times New Roman"/>
              </w:rPr>
            </w:pPr>
            <w:r w:rsidRPr="00EF598A">
              <w:rPr>
                <w:rFonts w:ascii="Times New Roman" w:hAnsi="Times New Roman" w:cs="Times New Roman"/>
                <w:sz w:val="24"/>
                <w:szCs w:val="24"/>
              </w:rPr>
              <w:t>flaconi anaerobi e flaconi aerobi per la ricerca di batteri in pazienti adulti;</w:t>
            </w:r>
          </w:p>
          <w:p w:rsidR="0043177E" w:rsidRPr="00EF598A" w:rsidRDefault="0043177E" w:rsidP="0043177E">
            <w:pPr>
              <w:pStyle w:val="Paragrafoelenco"/>
              <w:widowControl/>
              <w:numPr>
                <w:ilvl w:val="0"/>
                <w:numId w:val="2"/>
              </w:numPr>
              <w:autoSpaceDE/>
              <w:spacing w:after="160"/>
              <w:contextualSpacing/>
              <w:rPr>
                <w:rFonts w:ascii="Times New Roman" w:hAnsi="Times New Roman" w:cs="Times New Roman"/>
              </w:rPr>
            </w:pPr>
            <w:r w:rsidRPr="00EF598A">
              <w:rPr>
                <w:rFonts w:ascii="Times New Roman" w:hAnsi="Times New Roman" w:cs="Times New Roman"/>
                <w:sz w:val="24"/>
                <w:szCs w:val="24"/>
              </w:rPr>
              <w:t>flaconi per prelievi pediatrici per la ricerca di batteri in pazienti pediatrici;</w:t>
            </w:r>
          </w:p>
          <w:p w:rsidR="0043177E" w:rsidRPr="00EF598A" w:rsidRDefault="0043177E" w:rsidP="0043177E">
            <w:pPr>
              <w:pStyle w:val="Paragrafoelenco"/>
              <w:widowControl/>
              <w:numPr>
                <w:ilvl w:val="0"/>
                <w:numId w:val="2"/>
              </w:numPr>
              <w:autoSpaceDE/>
              <w:spacing w:after="160"/>
              <w:contextualSpacing/>
              <w:rPr>
                <w:rFonts w:ascii="Times New Roman" w:hAnsi="Times New Roman" w:cs="Times New Roman"/>
              </w:rPr>
            </w:pPr>
            <w:r w:rsidRPr="00EF598A">
              <w:rPr>
                <w:rFonts w:ascii="Times New Roman" w:hAnsi="Times New Roman" w:cs="Times New Roman"/>
                <w:sz w:val="24"/>
                <w:szCs w:val="24"/>
              </w:rPr>
              <w:t>dispositivi per la semina dai flaconi positivi;</w:t>
            </w:r>
          </w:p>
          <w:p w:rsidR="0043177E" w:rsidRPr="00EF598A" w:rsidRDefault="0043177E" w:rsidP="0043177E">
            <w:pPr>
              <w:pStyle w:val="Paragrafoelenco"/>
              <w:widowControl/>
              <w:numPr>
                <w:ilvl w:val="0"/>
                <w:numId w:val="2"/>
              </w:numPr>
              <w:autoSpaceDE/>
              <w:spacing w:after="160"/>
              <w:contextualSpacing/>
              <w:rPr>
                <w:rFonts w:ascii="Times New Roman" w:hAnsi="Times New Roman" w:cs="Times New Roman"/>
              </w:rPr>
            </w:pPr>
            <w:r w:rsidRPr="00EF598A">
              <w:rPr>
                <w:rFonts w:ascii="Times New Roman" w:hAnsi="Times New Roman" w:cs="Times New Roman"/>
                <w:sz w:val="24"/>
                <w:szCs w:val="24"/>
              </w:rPr>
              <w:t>calibratori;</w:t>
            </w:r>
          </w:p>
          <w:p w:rsidR="0043177E" w:rsidRPr="00EF598A" w:rsidRDefault="0043177E" w:rsidP="0043177E">
            <w:pPr>
              <w:pStyle w:val="Paragrafoelenco"/>
              <w:widowControl/>
              <w:numPr>
                <w:ilvl w:val="0"/>
                <w:numId w:val="2"/>
              </w:numPr>
              <w:autoSpaceDE/>
              <w:spacing w:after="160"/>
              <w:contextualSpacing/>
              <w:rPr>
                <w:rFonts w:ascii="Times New Roman" w:hAnsi="Times New Roman" w:cs="Times New Roman"/>
              </w:rPr>
            </w:pPr>
            <w:r w:rsidRPr="00EF598A">
              <w:rPr>
                <w:rFonts w:ascii="Times New Roman" w:hAnsi="Times New Roman" w:cs="Times New Roman"/>
                <w:sz w:val="24"/>
                <w:szCs w:val="24"/>
              </w:rPr>
              <w:t>dispositivi necessari alla raccolta delle emoculture, es. adattatori, fermo restando che i dispositivi per il prelievo (set da prelievo) non sono oggetto della presente fornitura;</w:t>
            </w:r>
          </w:p>
          <w:p w:rsidR="0043177E" w:rsidRPr="00EF598A" w:rsidRDefault="0043177E" w:rsidP="0043177E">
            <w:pPr>
              <w:pStyle w:val="Paragrafoelenco"/>
              <w:widowControl/>
              <w:numPr>
                <w:ilvl w:val="0"/>
                <w:numId w:val="2"/>
              </w:numPr>
              <w:autoSpaceDE/>
              <w:spacing w:after="160"/>
              <w:contextualSpacing/>
              <w:rPr>
                <w:rFonts w:ascii="Times New Roman" w:hAnsi="Times New Roman" w:cs="Times New Roman"/>
              </w:rPr>
            </w:pPr>
            <w:r w:rsidRPr="00EF598A">
              <w:rPr>
                <w:rFonts w:ascii="Times New Roman" w:hAnsi="Times New Roman" w:cs="Times New Roman"/>
                <w:sz w:val="24"/>
                <w:szCs w:val="24"/>
              </w:rPr>
              <w:t>sostanze di arricchimento previste da scheda tecnica per liquidi diversi da sangue per una quantità</w:t>
            </w:r>
            <w:r>
              <w:rPr>
                <w:rFonts w:ascii="Times New Roman" w:hAnsi="Times New Roman" w:cs="Times New Roman"/>
                <w:sz w:val="24"/>
                <w:szCs w:val="24"/>
              </w:rPr>
              <w:t xml:space="preserve"> </w:t>
            </w:r>
            <w:r w:rsidRPr="00EF598A">
              <w:rPr>
                <w:rFonts w:ascii="Times New Roman" w:hAnsi="Times New Roman" w:cs="Times New Roman"/>
                <w:sz w:val="24"/>
                <w:szCs w:val="24"/>
              </w:rPr>
              <w:t>stimata necessaria di circa 20 mila flaconi/anno).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3177E" w:rsidRPr="00EF598A" w:rsidRDefault="0043177E" w:rsidP="0043177E">
            <w:pPr>
              <w:pStyle w:val="Paragrafoelenco"/>
              <w:widowControl/>
              <w:numPr>
                <w:ilvl w:val="0"/>
                <w:numId w:val="1"/>
              </w:numPr>
              <w:suppressAutoHyphens w:val="0"/>
              <w:autoSpaceDE/>
              <w:spacing w:before="80" w:after="160"/>
              <w:contextualSpacing/>
              <w:rPr>
                <w:rFonts w:ascii="Times New Roman" w:hAnsi="Times New Roman" w:cs="Times New Roman"/>
              </w:rPr>
            </w:pPr>
            <w:r w:rsidRPr="00EF598A">
              <w:rPr>
                <w:rFonts w:ascii="Times New Roman" w:hAnsi="Times New Roman" w:cs="Times New Roman"/>
                <w:b/>
                <w:sz w:val="24"/>
                <w:szCs w:val="24"/>
              </w:rPr>
              <w:t>Sistema diagnostico per la ricerca di batteri e miceti in campioni di sangue (emocolture) e altri liquidi biologici:</w:t>
            </w:r>
          </w:p>
          <w:p w:rsidR="0043177E" w:rsidRPr="00EF598A" w:rsidRDefault="0043177E" w:rsidP="0043177E">
            <w:pPr>
              <w:pStyle w:val="Paragrafoelenco"/>
              <w:widowControl/>
              <w:numPr>
                <w:ilvl w:val="0"/>
                <w:numId w:val="3"/>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Il sistema automatico di incubazione e lettura deve consentire l’agitazione continua e monitoraggio della crescita batterica, per la ricerca di batteri aerobi, anaerobi e miceti su sangue;</w:t>
            </w:r>
          </w:p>
          <w:p w:rsidR="0043177E" w:rsidRPr="00EF598A" w:rsidRDefault="0043177E" w:rsidP="0043177E">
            <w:pPr>
              <w:pStyle w:val="Paragrafoelenco"/>
              <w:widowControl/>
              <w:numPr>
                <w:ilvl w:val="0"/>
                <w:numId w:val="3"/>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Il sistema deve avere una segnalazione acustica e visiva di allarmi per problemi strumentali e positività dei flaconi;</w:t>
            </w:r>
          </w:p>
          <w:p w:rsidR="0043177E" w:rsidRPr="00EF598A" w:rsidRDefault="0043177E" w:rsidP="0043177E">
            <w:pPr>
              <w:pStyle w:val="Paragrafoelenco"/>
              <w:widowControl/>
              <w:numPr>
                <w:ilvl w:val="0"/>
                <w:numId w:val="3"/>
              </w:numPr>
              <w:tabs>
                <w:tab w:val="left" w:pos="426"/>
              </w:tabs>
              <w:autoSpaceDE/>
              <w:spacing w:before="80" w:after="160"/>
              <w:contextualSpacing/>
              <w:rPr>
                <w:rFonts w:ascii="Times New Roman" w:hAnsi="Times New Roman" w:cs="Times New Roman"/>
              </w:rPr>
            </w:pPr>
            <w:bookmarkStart w:id="1" w:name="__DdeLink__1193_2441943017"/>
            <w:r w:rsidRPr="00EF598A">
              <w:rPr>
                <w:rFonts w:ascii="Times New Roman" w:hAnsi="Times New Roman" w:cs="Times New Roman"/>
                <w:sz w:val="24"/>
                <w:szCs w:val="24"/>
              </w:rPr>
              <w:t>Il sistema deve</w:t>
            </w:r>
            <w:bookmarkEnd w:id="1"/>
            <w:r w:rsidRPr="00EF598A">
              <w:rPr>
                <w:rFonts w:ascii="Times New Roman" w:hAnsi="Times New Roman" w:cs="Times New Roman"/>
                <w:sz w:val="24"/>
                <w:szCs w:val="24"/>
              </w:rPr>
              <w:t xml:space="preserve"> consentire di impostare tempi di incubazione differenziati per protocollo;</w:t>
            </w:r>
          </w:p>
          <w:p w:rsidR="0043177E" w:rsidRPr="00EF598A" w:rsidRDefault="0043177E" w:rsidP="0043177E">
            <w:pPr>
              <w:pStyle w:val="Paragrafoelenco"/>
              <w:widowControl/>
              <w:numPr>
                <w:ilvl w:val="0"/>
                <w:numId w:val="3"/>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Il sistema deve riconoscere dei flaconi tramite codice a barre;</w:t>
            </w:r>
          </w:p>
          <w:p w:rsidR="0043177E" w:rsidRPr="00EF598A" w:rsidRDefault="0043177E" w:rsidP="0043177E">
            <w:pPr>
              <w:pStyle w:val="Paragrafoelenco"/>
              <w:widowControl/>
              <w:numPr>
                <w:ilvl w:val="0"/>
                <w:numId w:val="3"/>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 xml:space="preserve">Il sistema deve essere in grado di rilevare il tempo di </w:t>
            </w:r>
            <w:proofErr w:type="spellStart"/>
            <w:r w:rsidRPr="00EF598A">
              <w:rPr>
                <w:rFonts w:ascii="Times New Roman" w:hAnsi="Times New Roman" w:cs="Times New Roman"/>
                <w:sz w:val="24"/>
                <w:szCs w:val="24"/>
              </w:rPr>
              <w:t>positivizzazione</w:t>
            </w:r>
            <w:proofErr w:type="spellEnd"/>
            <w:r w:rsidRPr="00EF598A">
              <w:rPr>
                <w:rFonts w:ascii="Times New Roman" w:hAnsi="Times New Roman" w:cs="Times New Roman"/>
                <w:sz w:val="24"/>
                <w:szCs w:val="24"/>
              </w:rPr>
              <w:t xml:space="preserve"> e di trasferire il dato al </w:t>
            </w:r>
            <w:proofErr w:type="spellStart"/>
            <w:r w:rsidRPr="00EF598A">
              <w:rPr>
                <w:rFonts w:ascii="Times New Roman" w:hAnsi="Times New Roman" w:cs="Times New Roman"/>
                <w:sz w:val="24"/>
                <w:szCs w:val="24"/>
              </w:rPr>
              <w:t>middleware</w:t>
            </w:r>
            <w:proofErr w:type="spellEnd"/>
            <w:r w:rsidRPr="00EF598A">
              <w:rPr>
                <w:rFonts w:ascii="Times New Roman" w:hAnsi="Times New Roman" w:cs="Times New Roman"/>
                <w:sz w:val="24"/>
                <w:szCs w:val="24"/>
              </w:rPr>
              <w:t xml:space="preserve"> BASE sopra indicato;</w:t>
            </w:r>
          </w:p>
          <w:p w:rsidR="0043177E" w:rsidRPr="00EF598A" w:rsidRDefault="0043177E" w:rsidP="0043177E">
            <w:pPr>
              <w:pStyle w:val="Paragrafoelenco"/>
              <w:widowControl/>
              <w:numPr>
                <w:ilvl w:val="0"/>
                <w:numId w:val="3"/>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Tutti gli strumenti devono essere nuovi e di ultima generazione;</w:t>
            </w:r>
          </w:p>
          <w:p w:rsidR="0043177E" w:rsidRPr="00EF598A" w:rsidRDefault="0043177E" w:rsidP="0043177E">
            <w:pPr>
              <w:pStyle w:val="Paragrafoelenco"/>
              <w:widowControl/>
              <w:numPr>
                <w:ilvl w:val="0"/>
                <w:numId w:val="3"/>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 xml:space="preserve">Comunicazione bidirezionale con il </w:t>
            </w:r>
            <w:proofErr w:type="spellStart"/>
            <w:r w:rsidRPr="00EF598A">
              <w:rPr>
                <w:rFonts w:ascii="Times New Roman" w:hAnsi="Times New Roman" w:cs="Times New Roman"/>
                <w:sz w:val="24"/>
                <w:szCs w:val="24"/>
              </w:rPr>
              <w:t>middleware</w:t>
            </w:r>
            <w:proofErr w:type="spellEnd"/>
            <w:r w:rsidRPr="00EF598A">
              <w:rPr>
                <w:rFonts w:ascii="Times New Roman" w:hAnsi="Times New Roman" w:cs="Times New Roman"/>
                <w:sz w:val="24"/>
                <w:szCs w:val="24"/>
              </w:rPr>
              <w:t xml:space="preserve"> BASE sopra indicato, con possibilità di consultazione da remoto dello stato di avanzamento della incubazione di ogni singolo flacone. Dal laboratorio del P.O. HUB di Treviso deve essere possibile monitorare in tempo reale lo stato di ogni singolo flacone (in incubazione, negativo definitivo, positivo con specificato il tempo di </w:t>
            </w:r>
            <w:proofErr w:type="spellStart"/>
            <w:r w:rsidRPr="00EF598A">
              <w:rPr>
                <w:rFonts w:ascii="Times New Roman" w:hAnsi="Times New Roman" w:cs="Times New Roman"/>
                <w:sz w:val="24"/>
                <w:szCs w:val="24"/>
              </w:rPr>
              <w:t>positivizzazione</w:t>
            </w:r>
            <w:proofErr w:type="spellEnd"/>
            <w:r w:rsidRPr="00EF598A">
              <w:rPr>
                <w:rFonts w:ascii="Times New Roman" w:hAnsi="Times New Roman" w:cs="Times New Roman"/>
                <w:sz w:val="24"/>
                <w:szCs w:val="24"/>
              </w:rPr>
              <w:t xml:space="preserve">), ed effettuare ricerca per paziente con consultazione dello stato di tutte le sue emocolture. </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3177E" w:rsidRPr="00EF598A" w:rsidRDefault="0043177E" w:rsidP="0043177E">
            <w:pPr>
              <w:pStyle w:val="Paragrafoelenco"/>
              <w:widowControl/>
              <w:numPr>
                <w:ilvl w:val="0"/>
                <w:numId w:val="1"/>
              </w:numPr>
              <w:suppressAutoHyphens w:val="0"/>
              <w:autoSpaceDE/>
              <w:spacing w:before="80" w:after="160"/>
              <w:contextualSpacing/>
              <w:rPr>
                <w:rFonts w:ascii="Times New Roman" w:hAnsi="Times New Roman" w:cs="Times New Roman"/>
              </w:rPr>
            </w:pPr>
            <w:r w:rsidRPr="00EF598A">
              <w:rPr>
                <w:rFonts w:ascii="Times New Roman" w:hAnsi="Times New Roman" w:cs="Times New Roman"/>
                <w:b/>
                <w:sz w:val="24"/>
                <w:szCs w:val="24"/>
              </w:rPr>
              <w:lastRenderedPageBreak/>
              <w:t>Diagnostici, reagenti e materiale di consumo necessario alla ricerca di batteri e miceti su campione di sangue periferico (emocoltura) e altri liquidi biologici</w:t>
            </w:r>
          </w:p>
          <w:p w:rsidR="0043177E" w:rsidRPr="00EF598A" w:rsidRDefault="0043177E" w:rsidP="0043177E">
            <w:pPr>
              <w:pStyle w:val="Paragrafoelenco"/>
              <w:widowControl/>
              <w:numPr>
                <w:ilvl w:val="0"/>
                <w:numId w:val="4"/>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I flaconi forniti devono contenere terreno di coltura liquido;</w:t>
            </w:r>
          </w:p>
          <w:p w:rsidR="0043177E" w:rsidRPr="00EF598A" w:rsidRDefault="0043177E" w:rsidP="0043177E">
            <w:pPr>
              <w:pStyle w:val="Paragrafoelenco"/>
              <w:widowControl/>
              <w:numPr>
                <w:ilvl w:val="0"/>
                <w:numId w:val="4"/>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I flaconi per prelievi pediatrici devono prevedere l’utilizzo di una quantità ridotta di campione rispetto ai flaconi per adulto;</w:t>
            </w:r>
          </w:p>
          <w:p w:rsidR="0043177E" w:rsidRPr="00EF598A" w:rsidRDefault="0043177E" w:rsidP="0043177E">
            <w:pPr>
              <w:pStyle w:val="Paragrafoelenco"/>
              <w:widowControl/>
              <w:numPr>
                <w:ilvl w:val="0"/>
                <w:numId w:val="4"/>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I flaconi devono essere in materiale infrangibile, al fine di garantire la massima sicurezza sia durante la manipolazione che durante il trasporto alla stazione analitica;</w:t>
            </w:r>
          </w:p>
          <w:p w:rsidR="0043177E" w:rsidRPr="00EF598A" w:rsidRDefault="0043177E" w:rsidP="0043177E">
            <w:pPr>
              <w:pStyle w:val="Paragrafoelenco"/>
              <w:widowControl/>
              <w:numPr>
                <w:ilvl w:val="0"/>
                <w:numId w:val="4"/>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Dovrà essere prevista la dotazione di dispositivi di sicurezza monouso per le subcolture da flaconi positive (il tasso di positività stimato è di circa 13% pari a 15000 flaconi anno);</w:t>
            </w:r>
          </w:p>
          <w:p w:rsidR="0043177E" w:rsidRPr="00EF598A" w:rsidRDefault="0043177E" w:rsidP="0043177E">
            <w:pPr>
              <w:pStyle w:val="Paragrafoelenco"/>
              <w:widowControl/>
              <w:numPr>
                <w:ilvl w:val="0"/>
                <w:numId w:val="4"/>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Marcatura CE-IVD dei reagenti per la ricerca dei batteri e dei funghi nel sangue;</w:t>
            </w:r>
          </w:p>
          <w:p w:rsidR="0043177E" w:rsidRPr="00EF598A" w:rsidRDefault="0043177E" w:rsidP="0043177E">
            <w:pPr>
              <w:pStyle w:val="Paragrafoelenco"/>
              <w:widowControl/>
              <w:numPr>
                <w:ilvl w:val="0"/>
                <w:numId w:val="4"/>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Presenza nel terreno di coltura di sostanze capaci di neutralizzare eventuali antibiotici o altre sostanze inibenti presenti nel campione, ma tali da non interferire nell’identificazione (</w:t>
            </w:r>
            <w:proofErr w:type="spellStart"/>
            <w:r w:rsidRPr="00EF598A">
              <w:rPr>
                <w:rFonts w:ascii="Times New Roman" w:hAnsi="Times New Roman" w:cs="Times New Roman"/>
                <w:i/>
                <w:sz w:val="24"/>
                <w:szCs w:val="24"/>
              </w:rPr>
              <w:t>Maldi-Tof</w:t>
            </w:r>
            <w:proofErr w:type="spellEnd"/>
            <w:r w:rsidRPr="00EF598A">
              <w:rPr>
                <w:rFonts w:ascii="Times New Roman" w:hAnsi="Times New Roman" w:cs="Times New Roman"/>
                <w:sz w:val="24"/>
                <w:szCs w:val="24"/>
              </w:rPr>
              <w:t xml:space="preserve"> e/o biochimica), nell’esecuzione dell’antibiogramma (diretto da flacone) e nell’esecuzione dell’esame microscopico con colorazione di </w:t>
            </w:r>
            <w:proofErr w:type="spellStart"/>
            <w:r w:rsidRPr="00EF598A">
              <w:rPr>
                <w:rFonts w:ascii="Times New Roman" w:hAnsi="Times New Roman" w:cs="Times New Roman"/>
                <w:i/>
                <w:sz w:val="24"/>
                <w:szCs w:val="24"/>
              </w:rPr>
              <w:t>Gram</w:t>
            </w:r>
            <w:proofErr w:type="spellEnd"/>
            <w:r w:rsidRPr="00EF598A">
              <w:rPr>
                <w:rFonts w:ascii="Times New Roman" w:hAnsi="Times New Roman" w:cs="Times New Roman"/>
                <w:sz w:val="24"/>
                <w:szCs w:val="24"/>
              </w:rPr>
              <w:t>;</w:t>
            </w:r>
          </w:p>
          <w:p w:rsidR="0043177E" w:rsidRPr="00EF598A" w:rsidRDefault="0043177E" w:rsidP="0043177E">
            <w:pPr>
              <w:pStyle w:val="Paragrafoelenco"/>
              <w:widowControl/>
              <w:numPr>
                <w:ilvl w:val="0"/>
                <w:numId w:val="4"/>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Fornitura dei dispositivi necessari al prelievo delle emocolture, se previsti (es. adattatori), senza oneri aggiuntivi.</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3177E" w:rsidRPr="00EF598A" w:rsidRDefault="0043177E" w:rsidP="0043177E">
            <w:pPr>
              <w:pStyle w:val="Paragrafoelenco"/>
              <w:widowControl/>
              <w:numPr>
                <w:ilvl w:val="0"/>
                <w:numId w:val="1"/>
              </w:numPr>
              <w:suppressAutoHyphens w:val="0"/>
              <w:autoSpaceDE/>
              <w:spacing w:before="80" w:after="160"/>
              <w:contextualSpacing/>
              <w:rPr>
                <w:rFonts w:ascii="Times New Roman" w:hAnsi="Times New Roman" w:cs="Times New Roman"/>
              </w:rPr>
            </w:pPr>
            <w:r w:rsidRPr="00EF598A">
              <w:rPr>
                <w:rFonts w:ascii="Times New Roman" w:hAnsi="Times New Roman" w:cs="Times New Roman"/>
                <w:b/>
                <w:sz w:val="24"/>
                <w:szCs w:val="24"/>
              </w:rPr>
              <w:t>Software gestionale e tutti gli accessori hardware necessari al funzionamento del sistema diagnostico per emocolture:</w:t>
            </w:r>
          </w:p>
          <w:p w:rsidR="0043177E" w:rsidRPr="00EF598A" w:rsidRDefault="0043177E" w:rsidP="0043177E">
            <w:pPr>
              <w:pStyle w:val="Paragrafoelenco"/>
              <w:suppressAutoHyphens w:val="0"/>
              <w:spacing w:before="80" w:after="160"/>
              <w:ind w:left="360"/>
              <w:contextualSpacing/>
              <w:rPr>
                <w:rFonts w:ascii="Times New Roman" w:hAnsi="Times New Roman" w:cs="Times New Roman"/>
                <w:sz w:val="24"/>
                <w:szCs w:val="24"/>
              </w:rPr>
            </w:pPr>
          </w:p>
          <w:p w:rsidR="0043177E" w:rsidRPr="00EF598A" w:rsidRDefault="0043177E" w:rsidP="0043177E">
            <w:pPr>
              <w:pStyle w:val="Paragrafoelenco"/>
              <w:widowControl/>
              <w:numPr>
                <w:ilvl w:val="0"/>
                <w:numId w:val="5"/>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Software gestionale in grado di governare l’intero processo analitico inclusi i dati statistici;</w:t>
            </w:r>
          </w:p>
          <w:p w:rsidR="0043177E" w:rsidRPr="00EF598A" w:rsidRDefault="0043177E" w:rsidP="0043177E">
            <w:pPr>
              <w:pStyle w:val="Paragrafoelenco"/>
              <w:widowControl/>
              <w:numPr>
                <w:ilvl w:val="0"/>
                <w:numId w:val="5"/>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Accessori hardware necessari al funzionamento dei sistemi forniti;</w:t>
            </w:r>
          </w:p>
          <w:p w:rsidR="0043177E" w:rsidRPr="00EF598A" w:rsidRDefault="0043177E" w:rsidP="0043177E">
            <w:pPr>
              <w:pStyle w:val="Paragrafoelenco"/>
              <w:widowControl/>
              <w:numPr>
                <w:ilvl w:val="0"/>
                <w:numId w:val="5"/>
              </w:numPr>
              <w:tabs>
                <w:tab w:val="left" w:pos="426"/>
              </w:tabs>
              <w:autoSpaceDE/>
              <w:spacing w:before="80" w:after="160"/>
              <w:contextualSpacing/>
              <w:rPr>
                <w:rFonts w:ascii="Times New Roman" w:hAnsi="Times New Roman" w:cs="Times New Roman"/>
              </w:rPr>
            </w:pPr>
            <w:r w:rsidRPr="00EF598A">
              <w:rPr>
                <w:rFonts w:ascii="Times New Roman" w:hAnsi="Times New Roman" w:cs="Times New Roman"/>
                <w:sz w:val="24"/>
                <w:szCs w:val="24"/>
              </w:rPr>
              <w:t xml:space="preserve">Il software dovrà essere interfacciato al sistema </w:t>
            </w:r>
            <w:proofErr w:type="spellStart"/>
            <w:r w:rsidRPr="00EF598A">
              <w:rPr>
                <w:rFonts w:ascii="Times New Roman" w:hAnsi="Times New Roman" w:cs="Times New Roman"/>
                <w:sz w:val="24"/>
                <w:szCs w:val="24"/>
              </w:rPr>
              <w:t>middleware</w:t>
            </w:r>
            <w:proofErr w:type="spellEnd"/>
            <w:r w:rsidRPr="00EF598A">
              <w:rPr>
                <w:rFonts w:ascii="Times New Roman" w:hAnsi="Times New Roman" w:cs="Times New Roman"/>
                <w:sz w:val="24"/>
                <w:szCs w:val="24"/>
              </w:rPr>
              <w:t xml:space="preserve"> BASE sopra indicato e permettere l'acquisizione delle richieste.</w:t>
            </w:r>
          </w:p>
          <w:p w:rsidR="00477FF5" w:rsidRPr="00516377" w:rsidRDefault="00477FF5" w:rsidP="009E786E">
            <w:pPr>
              <w:suppressAutoHyphens w:val="0"/>
              <w:spacing w:after="24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3177E" w:rsidRPr="00EF598A" w:rsidRDefault="0043177E" w:rsidP="0043177E">
            <w:pPr>
              <w:pStyle w:val="Paragrafoelenco"/>
              <w:widowControl/>
              <w:numPr>
                <w:ilvl w:val="0"/>
                <w:numId w:val="1"/>
              </w:numPr>
              <w:suppressAutoHyphens w:val="0"/>
              <w:autoSpaceDE/>
              <w:spacing w:before="80" w:after="160"/>
              <w:contextualSpacing/>
              <w:rPr>
                <w:rFonts w:ascii="Times New Roman" w:hAnsi="Times New Roman" w:cs="Times New Roman"/>
              </w:rPr>
            </w:pPr>
            <w:r w:rsidRPr="00EF598A">
              <w:rPr>
                <w:rFonts w:ascii="Times New Roman" w:hAnsi="Times New Roman" w:cs="Times New Roman"/>
                <w:b/>
                <w:sz w:val="24"/>
                <w:szCs w:val="24"/>
              </w:rPr>
              <w:t>Terreni di coltura pronti all’uso solidi (piastre) e liquidi (brodi di coltura)</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I terreni di coltura</w:t>
            </w:r>
            <w:r w:rsidRPr="00EF598A">
              <w:rPr>
                <w:rFonts w:ascii="Times New Roman" w:hAnsi="Times New Roman" w:cs="Times New Roman"/>
                <w:b/>
                <w:bCs/>
                <w:sz w:val="24"/>
                <w:szCs w:val="24"/>
              </w:rPr>
              <w:t xml:space="preserve"> </w:t>
            </w:r>
            <w:r w:rsidRPr="00EF598A">
              <w:rPr>
                <w:rFonts w:ascii="Times New Roman" w:hAnsi="Times New Roman" w:cs="Times New Roman"/>
                <w:sz w:val="24"/>
                <w:szCs w:val="24"/>
              </w:rPr>
              <w:t>pronti in piastra o tubo devono essere esenti da contaminazione e pronti all’uso;</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Le piastre rotonde devono avere un diametro di 9 cm e lo spessore del terreno non deve essere inferiore a 4 mm;</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Tutti i prodotti devono essere contenuti in confezioni resistenti allo strappo, che ne garantiscano la buona conservazione, ma di facile apertura anche con i guanti ad uso sanitario;</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 xml:space="preserve">Sulle confezioni devono essere indicati in modo visibile la sigla della tipologia del terreno, il numero di lotto di produzione, la data di scadenza del prodotto (leggibili mediante codice a barre) e temperatura di stoccaggio. La sigla della tipologia del terreno </w:t>
            </w:r>
            <w:r w:rsidRPr="00EF598A">
              <w:rPr>
                <w:rFonts w:ascii="Times New Roman" w:hAnsi="Times New Roman" w:cs="Times New Roman"/>
                <w:sz w:val="24"/>
                <w:szCs w:val="24"/>
              </w:rPr>
              <w:lastRenderedPageBreak/>
              <w:t>deve essere presente in ogni piastra;</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Devono essere disponibili, per ogni lotto di terreno inviato, i certificati di analisi e i controlli di qualità;</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Le aziende produttrici devono garantire la catena del freddo in tutte le fasi di trasporto;</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Deve essere disponibile la consegna dei terreni con consegna a cadenza periodica a discrezione del laboratorio (settimanale, quindicinale, mensile) anche di terreni con consumo inferiore o ugual</w:t>
            </w:r>
            <w:r w:rsidRPr="00EF598A">
              <w:rPr>
                <w:rFonts w:ascii="Times New Roman" w:hAnsi="Times New Roman" w:cs="Times New Roman"/>
                <w:b/>
                <w:bCs/>
                <w:sz w:val="24"/>
                <w:szCs w:val="24"/>
              </w:rPr>
              <w:t>e</w:t>
            </w:r>
            <w:r w:rsidRPr="00EF598A">
              <w:rPr>
                <w:rFonts w:ascii="Times New Roman" w:hAnsi="Times New Roman" w:cs="Times New Roman"/>
                <w:sz w:val="24"/>
                <w:szCs w:val="24"/>
              </w:rPr>
              <w:t xml:space="preserve"> a 200 pezzi/anno;</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Deve essere disponibile la consegna dei terreni in rapporto alle esigenze degli spazi di stoccaggio disponibili in laboratorio, per quanto concerne l’ammontare variabile settimanale dell’approvvigionamento dei terreni, con arrivo del materiale entro e non oltre le 48 ore lavorative dall’ordine trasmesso;</w:t>
            </w:r>
          </w:p>
          <w:p w:rsidR="0043177E" w:rsidRPr="00EF598A" w:rsidRDefault="0043177E" w:rsidP="0043177E">
            <w:pPr>
              <w:pStyle w:val="Paragrafoelenco"/>
              <w:widowControl/>
              <w:numPr>
                <w:ilvl w:val="0"/>
                <w:numId w:val="6"/>
              </w:numPr>
              <w:autoSpaceDE/>
              <w:spacing w:before="80" w:after="160"/>
              <w:contextualSpacing/>
              <w:rPr>
                <w:rFonts w:ascii="Times New Roman" w:hAnsi="Times New Roman" w:cs="Times New Roman"/>
              </w:rPr>
            </w:pPr>
            <w:r w:rsidRPr="00EF598A">
              <w:rPr>
                <w:rFonts w:ascii="Times New Roman" w:hAnsi="Times New Roman" w:cs="Times New Roman"/>
                <w:sz w:val="24"/>
                <w:szCs w:val="24"/>
              </w:rPr>
              <w:t>La ditta aggiudicataria dei terreni dovrà fornire senza oneri aggiuntivi almeno 15 ceppi batterici ATCC per il controllo di qualità microbiologico. Tali ceppi ATCC verranno specificatamente indicati successivamente all’aggiudicazione della gara dalla UOC Microbiologia.</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3177E" w:rsidRPr="00EF598A" w:rsidRDefault="0043177E" w:rsidP="0043177E">
            <w:pPr>
              <w:pStyle w:val="NormaleWeb"/>
              <w:spacing w:after="159"/>
              <w:ind w:left="476"/>
              <w:jc w:val="both"/>
              <w:rPr>
                <w:color w:val="000000"/>
              </w:rPr>
            </w:pPr>
            <w:bookmarkStart w:id="2" w:name="_GoBack"/>
            <w:bookmarkEnd w:id="2"/>
            <w:r w:rsidRPr="00EF598A">
              <w:rPr>
                <w:b/>
                <w:color w:val="000000"/>
              </w:rPr>
              <w:lastRenderedPageBreak/>
              <w:t>6) Servizio di assistenza tecnica per hardware e software</w:t>
            </w:r>
            <w:r w:rsidRPr="00EF598A">
              <w:rPr>
                <w:color w:val="000000"/>
              </w:rPr>
              <w:t>, con intervento on site entro 8 ore lavorative dalla chiamata dal lunedì al venerdì. Servizio di assistenza telefonica fornito da operatori specializzati per hardware e software 5 gg su 7 disponibile 8 ore lavorative al giorno.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p>
    <w:p w:rsidR="00477FF5" w:rsidRPr="00516377" w:rsidRDefault="00477FF5" w:rsidP="00477FF5">
      <w:pPr>
        <w:jc w:val="both"/>
        <w:rPr>
          <w:rFonts w:ascii="Times New Roman" w:hAnsi="Times New Roman" w:cs="Times New Roman"/>
          <w:sz w:val="24"/>
          <w:szCs w:val="24"/>
        </w:rPr>
      </w:pPr>
    </w:p>
    <w:p w:rsidR="00477FF5" w:rsidRPr="00516377" w:rsidRDefault="00477FF5" w:rsidP="00477FF5">
      <w:pPr>
        <w:jc w:val="both"/>
        <w:rPr>
          <w:rFonts w:ascii="Times New Roman" w:hAnsi="Times New Roman" w:cs="Times New Roman"/>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t>Valutazione della soluzione progettuale nel complesso e in particolare con riferimento all'uniformità di cura in tutta la rete dei laboratori dell’Azienda ULSS 2 e agli elementi innovativi proposti. Sarà pertanto valutata positivamente la presenza di strumentazioni identiche per tutti i presidi con medesime caratteristiche funzionali, di interfaccia utente e di operatività tecnica. Relazionare.</w:t>
            </w:r>
          </w:p>
          <w:p w:rsidR="0043177E" w:rsidRPr="00EF598A" w:rsidRDefault="0043177E" w:rsidP="00243F50">
            <w:pPr>
              <w:suppressAutoHyphens w:val="0"/>
              <w:jc w:val="both"/>
              <w:rPr>
                <w:rFonts w:ascii="Times New Roman" w:hAnsi="Times New Roman" w:cs="Times New Roman"/>
                <w:color w:val="000000"/>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rPr>
                <w:rFonts w:ascii="Times New Roman" w:hAnsi="Times New Roman" w:cs="Times New Roman"/>
              </w:rPr>
            </w:pPr>
            <w:r w:rsidRPr="00EF598A">
              <w:rPr>
                <w:rFonts w:ascii="Times New Roman" w:hAnsi="Times New Roman" w:cs="Times New Roman"/>
                <w:color w:val="000000"/>
                <w:sz w:val="24"/>
                <w:szCs w:val="24"/>
                <w:lang w:eastAsia="it-IT"/>
              </w:rPr>
              <w:t>Possibilità di re-inserire i flaconi segnalati positivi o in corso di incubazione in moduli situati in</w:t>
            </w:r>
            <w:r>
              <w:rPr>
                <w:rFonts w:ascii="Times New Roman" w:hAnsi="Times New Roman" w:cs="Times New Roman"/>
                <w:color w:val="000000"/>
                <w:sz w:val="24"/>
                <w:szCs w:val="24"/>
                <w:lang w:eastAsia="it-IT"/>
              </w:rPr>
              <w:t xml:space="preserve"> </w:t>
            </w:r>
            <w:r w:rsidRPr="00EF598A">
              <w:rPr>
                <w:rFonts w:ascii="Times New Roman" w:hAnsi="Times New Roman" w:cs="Times New Roman"/>
                <w:color w:val="000000"/>
                <w:sz w:val="24"/>
                <w:szCs w:val="24"/>
                <w:lang w:eastAsia="it-IT"/>
              </w:rPr>
              <w:t>una sede d’incubazione differente da quella iniziale, con recupero dei dati dello stesso.</w:t>
            </w:r>
          </w:p>
          <w:p w:rsidR="0043177E" w:rsidRPr="00EF598A" w:rsidRDefault="0043177E" w:rsidP="00243F50">
            <w:pPr>
              <w:suppressAutoHyphens w:val="0"/>
              <w:rPr>
                <w:rFonts w:ascii="Times New Roman" w:hAnsi="Times New Roman" w:cs="Times New Roman"/>
              </w:rPr>
            </w:pPr>
            <w:r w:rsidRPr="00EF598A">
              <w:rPr>
                <w:rFonts w:ascii="Times New Roman" w:hAnsi="Times New Roman" w:cs="Times New Roman"/>
                <w:color w:val="000000"/>
                <w:sz w:val="24"/>
                <w:szCs w:val="24"/>
                <w:lang w:eastAsia="it-IT"/>
              </w:rPr>
              <w:t xml:space="preserve"> </w:t>
            </w:r>
          </w:p>
          <w:p w:rsidR="0043177E" w:rsidRPr="00EF598A" w:rsidRDefault="0043177E" w:rsidP="0043177E">
            <w:pPr>
              <w:suppressAutoHyphens w:val="0"/>
              <w:rPr>
                <w:rFonts w:ascii="Times New Roman" w:hAnsi="Times New Roman" w:cs="Times New Roman"/>
                <w:color w:val="000000"/>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t xml:space="preserve">Sistema di neutralizzazione utilizzato con specifica indicazione delle classi di antibiotici neutralizzati. Sarà valutato il numero di antibiotici </w:t>
            </w:r>
            <w:r w:rsidRPr="00EF598A">
              <w:rPr>
                <w:rFonts w:ascii="Times New Roman" w:hAnsi="Times New Roman" w:cs="Times New Roman"/>
                <w:color w:val="000000"/>
                <w:sz w:val="24"/>
                <w:szCs w:val="24"/>
                <w:lang w:eastAsia="it-IT"/>
              </w:rPr>
              <w:lastRenderedPageBreak/>
              <w:t>neutralizzati, la tipologia di antibiotici neutralizzati e la loro concentrazione. Relazionare</w:t>
            </w:r>
          </w:p>
          <w:p w:rsidR="0043177E" w:rsidRPr="00EF598A" w:rsidRDefault="0043177E" w:rsidP="00243F50">
            <w:pPr>
              <w:suppressAutoHyphens w:val="0"/>
              <w:jc w:val="both"/>
              <w:rPr>
                <w:rFonts w:ascii="Times New Roman" w:hAnsi="Times New Roman" w:cs="Times New Roman"/>
                <w:color w:val="000000"/>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bottom"/>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lastRenderedPageBreak/>
              <w:t xml:space="preserve">Volume minimo di campione liquido validato CE-IVD per flacone pediatrico. </w:t>
            </w:r>
            <w:r w:rsidRPr="00EF598A">
              <w:rPr>
                <w:rFonts w:ascii="Times New Roman" w:hAnsi="Times New Roman" w:cs="Times New Roman"/>
                <w:color w:val="000000"/>
                <w:sz w:val="24"/>
                <w:szCs w:val="24"/>
                <w:lang w:eastAsia="it-IT"/>
              </w:rPr>
              <w:br/>
              <w:t>Sarà attribuito il massimo punteggio al volume inferiore dichiarato nel foglietto illustrativo del flacone, e agli altri proporzionalmente.</w:t>
            </w:r>
          </w:p>
          <w:p w:rsidR="0043177E" w:rsidRPr="00EF598A" w:rsidRDefault="0043177E" w:rsidP="00243F50">
            <w:pPr>
              <w:suppressAutoHyphens w:val="0"/>
              <w:jc w:val="both"/>
              <w:rPr>
                <w:rFonts w:ascii="Times New Roman" w:hAnsi="Times New Roman" w:cs="Times New Roman"/>
                <w:color w:val="000000"/>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t>Disponibilità a catalogo di flaconi validati CE-IVD per inoculo e analisi di liquidi diversi dal sangue.</w:t>
            </w:r>
          </w:p>
          <w:p w:rsidR="0043177E" w:rsidRPr="00EF598A" w:rsidRDefault="0043177E" w:rsidP="00243F50">
            <w:pPr>
              <w:suppressAutoHyphens w:val="0"/>
              <w:rPr>
                <w:rFonts w:ascii="Times New Roman" w:hAnsi="Times New Roman" w:cs="Times New Roman"/>
                <w:color w:val="000000"/>
                <w:sz w:val="24"/>
                <w:szCs w:val="24"/>
                <w:lang w:eastAsia="it-IT"/>
              </w:rPr>
            </w:pPr>
          </w:p>
          <w:p w:rsidR="0043177E" w:rsidRPr="00EF598A" w:rsidRDefault="0043177E" w:rsidP="0043177E">
            <w:pPr>
              <w:suppressAutoHyphens w:val="0"/>
              <w:rPr>
                <w:rFonts w:ascii="Times New Roman" w:hAnsi="Times New Roman" w:cs="Times New Roman"/>
                <w:sz w:val="24"/>
                <w:szCs w:val="24"/>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t>Al fine di garantire la minor manualità operativa e il massimo gra</w:t>
            </w:r>
            <w:r w:rsidRPr="00EF598A">
              <w:rPr>
                <w:rFonts w:ascii="Times New Roman" w:hAnsi="Times New Roman" w:cs="Times New Roman"/>
                <w:sz w:val="24"/>
                <w:szCs w:val="24"/>
                <w:lang w:eastAsia="it-IT"/>
              </w:rPr>
              <w:t xml:space="preserve">do di automazione reale della soluzione proposta sarà ritenuto elemento migliorativo il livello di automazione in fase di carico e scarico dei flaconi con il minimo intervento operatore. Sarà inoltre valutata positivamente la possibilità di eseguire il check-in del flacone di emocoltura nel modo più automatizzato possibile. Descrivere nel dettaglio le modalità di carico e scarico dei flaconi e le modalità di esecuzione del check-in nella strumentazione offerta </w:t>
            </w:r>
            <w:r w:rsidRPr="00EF598A">
              <w:rPr>
                <w:rFonts w:ascii="Times New Roman" w:hAnsi="Times New Roman" w:cs="Times New Roman"/>
                <w:color w:val="000000"/>
                <w:sz w:val="24"/>
                <w:szCs w:val="24"/>
                <w:lang w:eastAsia="it-IT"/>
              </w:rPr>
              <w:t>.</w:t>
            </w:r>
          </w:p>
          <w:p w:rsidR="0043177E" w:rsidRPr="00EF598A" w:rsidRDefault="0043177E" w:rsidP="00243F50">
            <w:pPr>
              <w:suppressAutoHyphens w:val="0"/>
              <w:jc w:val="both"/>
              <w:rPr>
                <w:rFonts w:ascii="Times New Roman" w:hAnsi="Times New Roman" w:cs="Times New Roman"/>
                <w:color w:val="000000"/>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t xml:space="preserve">Valutazione della soluzione progettuale in riferimento alla salute e benessere degli operatori in relazione al rischio da esposizione ad agenti biologici e a punture accidentali. In conformità all'art. 210b del D.lgs. 81/08 (Testo Unico sulla salute e sicurezza sul lavoro), sarà valutata positivamente la soluzione che escluda fattori di rischio diretti ed indiretti, nella gestione dei flaconi risultati positivi di cui si necessita manipolazione per successive indagini di approfondimento. </w:t>
            </w:r>
          </w:p>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t>Allegare scheda tecnica e manuale operatore integrale, indicando riferimenti precisi degli accorgimenti necessari per evitare i rischi sopra descritti.</w:t>
            </w: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color w:val="000000"/>
                <w:sz w:val="24"/>
                <w:szCs w:val="24"/>
                <w:lang w:eastAsia="it-IT"/>
              </w:rPr>
              <w:t>Presenza nello strumento di sensore in grado di rilevare il grado di riempimento (volume) di ciascun flacone inserito.</w:t>
            </w:r>
          </w:p>
          <w:p w:rsidR="0043177E" w:rsidRPr="00EF598A" w:rsidRDefault="0043177E" w:rsidP="0043177E">
            <w:pPr>
              <w:suppressAutoHyphens w:val="0"/>
              <w:jc w:val="both"/>
              <w:rPr>
                <w:rFonts w:ascii="Times New Roman" w:hAnsi="Times New Roman" w:cs="Times New Roman"/>
                <w:color w:val="000000"/>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sz w:val="24"/>
                <w:szCs w:val="24"/>
                <w:lang w:eastAsia="it-IT"/>
              </w:rPr>
              <w:t>Sarà valutata la numerosità di terreni liquidi e in piastra a catalogo, oltre a quanto riportato in allegato A tra gli obbligatori e gli opzionali, e attribuito il punteggio maggiore all'offerente con il maggior numero di terreni e agli altri proporzionalmente. Dare evidenza di calcolo del totale di terreni liquidi e in piastra presenti a catalogo.</w:t>
            </w:r>
          </w:p>
          <w:p w:rsidR="0043177E" w:rsidRPr="00EF598A" w:rsidRDefault="0043177E" w:rsidP="00243F50">
            <w:pPr>
              <w:suppressAutoHyphens w:val="0"/>
              <w:rPr>
                <w:rFonts w:ascii="Times New Roman" w:hAnsi="Times New Roman" w:cs="Times New Roman"/>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sz w:val="24"/>
                <w:szCs w:val="24"/>
                <w:lang w:eastAsia="it-IT"/>
              </w:rPr>
              <w:t xml:space="preserve"> Sarà valutata positivamente l’offerta di terreni cromogeni.</w:t>
            </w:r>
            <w:r w:rsidRPr="00EF598A">
              <w:rPr>
                <w:rFonts w:ascii="Times New Roman" w:hAnsi="Times New Roman" w:cs="Times New Roman"/>
                <w:color w:val="000000"/>
                <w:sz w:val="24"/>
                <w:szCs w:val="24"/>
                <w:lang w:eastAsia="it-IT"/>
              </w:rPr>
              <w:t xml:space="preserve"> In particolare sarà premiata la possibilità di effettuare l’identificazione presuntiva del maggior numero di specie batteriche relativamente alle </w:t>
            </w:r>
            <w:proofErr w:type="spellStart"/>
            <w:r w:rsidRPr="00EF598A">
              <w:rPr>
                <w:rFonts w:ascii="Times New Roman" w:hAnsi="Times New Roman" w:cs="Times New Roman"/>
                <w:color w:val="000000"/>
                <w:sz w:val="24"/>
                <w:szCs w:val="24"/>
                <w:lang w:eastAsia="it-IT"/>
              </w:rPr>
              <w:t>urocolture</w:t>
            </w:r>
            <w:proofErr w:type="spellEnd"/>
            <w:r w:rsidRPr="00EF598A">
              <w:rPr>
                <w:rFonts w:ascii="Times New Roman" w:hAnsi="Times New Roman" w:cs="Times New Roman"/>
                <w:color w:val="000000"/>
                <w:sz w:val="24"/>
                <w:szCs w:val="24"/>
                <w:lang w:eastAsia="it-IT"/>
              </w:rPr>
              <w:t xml:space="preserve"> e all’</w:t>
            </w:r>
            <w:proofErr w:type="spellStart"/>
            <w:r w:rsidRPr="00EF598A">
              <w:rPr>
                <w:rFonts w:ascii="Times New Roman" w:hAnsi="Times New Roman" w:cs="Times New Roman"/>
                <w:color w:val="000000"/>
                <w:sz w:val="24"/>
                <w:szCs w:val="24"/>
                <w:lang w:eastAsia="it-IT"/>
              </w:rPr>
              <w:t>identifcazione</w:t>
            </w:r>
            <w:proofErr w:type="spellEnd"/>
            <w:r w:rsidRPr="00EF598A">
              <w:rPr>
                <w:rFonts w:ascii="Times New Roman" w:hAnsi="Times New Roman" w:cs="Times New Roman"/>
                <w:color w:val="000000"/>
                <w:sz w:val="24"/>
                <w:szCs w:val="24"/>
                <w:lang w:eastAsia="it-IT"/>
              </w:rPr>
              <w:t xml:space="preserve"> di Candida </w:t>
            </w:r>
            <w:proofErr w:type="spellStart"/>
            <w:r w:rsidRPr="00EF598A">
              <w:rPr>
                <w:rFonts w:ascii="Times New Roman" w:hAnsi="Times New Roman" w:cs="Times New Roman"/>
                <w:color w:val="000000"/>
                <w:sz w:val="24"/>
                <w:szCs w:val="24"/>
                <w:lang w:eastAsia="it-IT"/>
              </w:rPr>
              <w:t>albicans</w:t>
            </w:r>
            <w:proofErr w:type="spellEnd"/>
            <w:r w:rsidRPr="00EF598A">
              <w:rPr>
                <w:rFonts w:ascii="Times New Roman" w:hAnsi="Times New Roman" w:cs="Times New Roman"/>
                <w:color w:val="000000"/>
                <w:sz w:val="24"/>
                <w:szCs w:val="24"/>
                <w:lang w:eastAsia="it-IT"/>
              </w:rPr>
              <w:t xml:space="preserve"> per piastre ricerca Miceti</w:t>
            </w:r>
            <w:r w:rsidRPr="00EF598A">
              <w:rPr>
                <w:rFonts w:ascii="Times New Roman" w:hAnsi="Times New Roman" w:cs="Times New Roman"/>
                <w:sz w:val="24"/>
                <w:szCs w:val="24"/>
                <w:lang w:eastAsia="it-IT"/>
              </w:rPr>
              <w:t xml:space="preserve">. </w:t>
            </w:r>
            <w:r w:rsidRPr="00EF598A">
              <w:rPr>
                <w:rFonts w:ascii="Times New Roman" w:hAnsi="Times New Roman" w:cs="Times New Roman"/>
                <w:color w:val="000000"/>
                <w:sz w:val="24"/>
                <w:szCs w:val="24"/>
                <w:lang w:eastAsia="it-IT"/>
              </w:rPr>
              <w:t>Relazionare.</w:t>
            </w:r>
          </w:p>
          <w:p w:rsidR="0043177E" w:rsidRPr="00EF598A" w:rsidRDefault="0043177E" w:rsidP="00243F50">
            <w:pPr>
              <w:suppressAutoHyphens w:val="0"/>
              <w:rPr>
                <w:rFonts w:ascii="Times New Roman" w:hAnsi="Times New Roman" w:cs="Times New Roman"/>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rPr>
            </w:pPr>
            <w:r w:rsidRPr="00EF598A">
              <w:rPr>
                <w:rFonts w:ascii="Times New Roman" w:hAnsi="Times New Roman" w:cs="Times New Roman"/>
                <w:sz w:val="24"/>
                <w:szCs w:val="24"/>
                <w:lang w:eastAsia="it-IT"/>
              </w:rPr>
              <w:t xml:space="preserve">Tipologia e modalità di supporto alla validazione clinica: sarà valutata positivamente la soluzione in grado di fornire report dettagliati di carattere epidemiologico, la flessibilità dell'interpretazione dei risultati , il numero di informazioni consolidabili (curve e tempi di </w:t>
            </w:r>
            <w:proofErr w:type="spellStart"/>
            <w:r w:rsidRPr="00EF598A">
              <w:rPr>
                <w:rFonts w:ascii="Times New Roman" w:hAnsi="Times New Roman" w:cs="Times New Roman"/>
                <w:sz w:val="24"/>
                <w:szCs w:val="24"/>
                <w:lang w:eastAsia="it-IT"/>
              </w:rPr>
              <w:t>positivizzazione</w:t>
            </w:r>
            <w:proofErr w:type="spellEnd"/>
            <w:r w:rsidRPr="00EF598A">
              <w:rPr>
                <w:rFonts w:ascii="Times New Roman" w:hAnsi="Times New Roman" w:cs="Times New Roman"/>
                <w:sz w:val="24"/>
                <w:szCs w:val="24"/>
                <w:lang w:eastAsia="it-IT"/>
              </w:rPr>
              <w:t xml:space="preserve">, volume di campioni), gestione degli indicatori di </w:t>
            </w:r>
            <w:r w:rsidRPr="00EF598A">
              <w:rPr>
                <w:rFonts w:ascii="Times New Roman" w:hAnsi="Times New Roman" w:cs="Times New Roman"/>
                <w:sz w:val="24"/>
                <w:szCs w:val="24"/>
                <w:lang w:eastAsia="it-IT"/>
              </w:rPr>
              <w:lastRenderedPageBreak/>
              <w:t xml:space="preserve">qualità utili al monitoraggio delle fasi di preanalitica, analitica </w:t>
            </w:r>
            <w:proofErr w:type="spellStart"/>
            <w:r w:rsidRPr="00EF598A">
              <w:rPr>
                <w:rFonts w:ascii="Times New Roman" w:hAnsi="Times New Roman" w:cs="Times New Roman"/>
                <w:sz w:val="24"/>
                <w:szCs w:val="24"/>
                <w:lang w:eastAsia="it-IT"/>
              </w:rPr>
              <w:t>postanalitica</w:t>
            </w:r>
            <w:proofErr w:type="spellEnd"/>
            <w:r w:rsidRPr="00EF598A">
              <w:rPr>
                <w:rFonts w:ascii="Times New Roman" w:hAnsi="Times New Roman" w:cs="Times New Roman"/>
                <w:sz w:val="24"/>
                <w:szCs w:val="24"/>
                <w:lang w:eastAsia="it-IT"/>
              </w:rPr>
              <w:t xml:space="preserve"> delle emoculture e il monitoraggio TAT dal prelievo alla refertazione. Relazionare</w:t>
            </w:r>
          </w:p>
          <w:p w:rsidR="0043177E" w:rsidRPr="00EF598A" w:rsidRDefault="0043177E" w:rsidP="00243F50">
            <w:pPr>
              <w:suppressAutoHyphens w:val="0"/>
              <w:jc w:val="both"/>
              <w:rPr>
                <w:rFonts w:ascii="Times New Roman" w:hAnsi="Times New Roman" w:cs="Times New Roman"/>
                <w:sz w:val="24"/>
                <w:szCs w:val="24"/>
                <w:shd w:val="clear" w:color="auto" w:fill="FFFF00"/>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r w:rsidR="0043177E" w:rsidRPr="00516377" w:rsidTr="00703B59">
        <w:trPr>
          <w:trHeight w:val="20"/>
        </w:trPr>
        <w:tc>
          <w:tcPr>
            <w:tcW w:w="7196" w:type="dxa"/>
            <w:vAlign w:val="center"/>
          </w:tcPr>
          <w:p w:rsidR="0043177E" w:rsidRPr="00EF598A" w:rsidRDefault="0043177E" w:rsidP="00243F50">
            <w:pPr>
              <w:suppressAutoHyphens w:val="0"/>
              <w:jc w:val="both"/>
              <w:rPr>
                <w:rFonts w:ascii="Times New Roman" w:hAnsi="Times New Roman" w:cs="Times New Roman"/>
                <w:strike/>
                <w:color w:val="000000"/>
                <w:sz w:val="24"/>
                <w:szCs w:val="24"/>
                <w:lang w:eastAsia="it-IT"/>
              </w:rPr>
            </w:pPr>
          </w:p>
          <w:p w:rsidR="0043177E" w:rsidRPr="00EF598A" w:rsidRDefault="0043177E" w:rsidP="00243F50">
            <w:pPr>
              <w:suppressAutoHyphens w:val="0"/>
              <w:jc w:val="both"/>
              <w:rPr>
                <w:rFonts w:ascii="Times New Roman" w:hAnsi="Times New Roman" w:cs="Times New Roman"/>
                <w:color w:val="000000"/>
                <w:sz w:val="24"/>
                <w:szCs w:val="24"/>
                <w:lang w:eastAsia="it-IT"/>
              </w:rPr>
            </w:pPr>
            <w:r w:rsidRPr="00EF598A">
              <w:rPr>
                <w:rFonts w:ascii="Times New Roman" w:hAnsi="Times New Roman" w:cs="Times New Roman"/>
                <w:color w:val="000000"/>
                <w:sz w:val="24"/>
                <w:szCs w:val="24"/>
                <w:lang w:eastAsia="it-IT"/>
              </w:rPr>
              <w:t>Verrà valutato il servizio post-vendita proposto dalla ditta nel suo complesso. In particolare verrà valutata</w:t>
            </w:r>
            <w:r>
              <w:rPr>
                <w:rFonts w:ascii="Times New Roman" w:hAnsi="Times New Roman" w:cs="Times New Roman"/>
                <w:color w:val="000000"/>
                <w:sz w:val="24"/>
                <w:szCs w:val="24"/>
                <w:lang w:eastAsia="it-IT"/>
              </w:rPr>
              <w:t xml:space="preserve"> </w:t>
            </w:r>
            <w:r w:rsidRPr="00EF598A">
              <w:rPr>
                <w:rFonts w:ascii="Times New Roman" w:hAnsi="Times New Roman" w:cs="Times New Roman"/>
                <w:color w:val="000000"/>
                <w:sz w:val="24"/>
                <w:szCs w:val="24"/>
                <w:lang w:eastAsia="it-IT"/>
              </w:rPr>
              <w:t>la proposta progettuale per tempi e modalità di risoluzione dei guasti, volta a garantire la continuità diagnostica e saranno premiate soluzioni</w:t>
            </w:r>
            <w:r>
              <w:rPr>
                <w:rFonts w:ascii="Times New Roman" w:hAnsi="Times New Roman" w:cs="Times New Roman"/>
                <w:color w:val="000000"/>
                <w:sz w:val="24"/>
                <w:szCs w:val="24"/>
                <w:lang w:eastAsia="it-IT"/>
              </w:rPr>
              <w:t xml:space="preserve"> </w:t>
            </w:r>
            <w:r w:rsidRPr="00EF598A">
              <w:rPr>
                <w:rFonts w:ascii="Times New Roman" w:hAnsi="Times New Roman" w:cs="Times New Roman"/>
                <w:color w:val="000000"/>
                <w:sz w:val="24"/>
                <w:szCs w:val="24"/>
                <w:lang w:eastAsia="it-IT"/>
              </w:rPr>
              <w:t>di assistenza tecnica migliorative rispetto a quanto previsto nel capitolato speciale art. 6.2 del capitolato speciale parte seconda.</w:t>
            </w:r>
          </w:p>
          <w:p w:rsidR="0043177E" w:rsidRPr="00EF598A" w:rsidRDefault="0043177E" w:rsidP="00243F50">
            <w:pPr>
              <w:suppressAutoHyphens w:val="0"/>
              <w:jc w:val="both"/>
              <w:rPr>
                <w:rFonts w:ascii="Times New Roman" w:hAnsi="Times New Roman" w:cs="Times New Roman"/>
                <w:strike/>
                <w:color w:val="000000"/>
                <w:sz w:val="24"/>
                <w:szCs w:val="24"/>
                <w:lang w:eastAsia="it-IT"/>
              </w:rPr>
            </w:pPr>
          </w:p>
          <w:p w:rsidR="0043177E" w:rsidRPr="00EF598A" w:rsidRDefault="0043177E" w:rsidP="00243F50">
            <w:pPr>
              <w:suppressAutoHyphens w:val="0"/>
              <w:jc w:val="both"/>
              <w:rPr>
                <w:rFonts w:ascii="Times New Roman" w:hAnsi="Times New Roman" w:cs="Times New Roman"/>
              </w:rPr>
            </w:pPr>
          </w:p>
          <w:p w:rsidR="0043177E" w:rsidRPr="00EF598A" w:rsidRDefault="0043177E" w:rsidP="00243F50">
            <w:pPr>
              <w:suppressAutoHyphens w:val="0"/>
              <w:rPr>
                <w:rFonts w:ascii="Times New Roman" w:hAnsi="Times New Roman" w:cs="Times New Roman"/>
                <w:color w:val="000000"/>
                <w:sz w:val="24"/>
                <w:szCs w:val="24"/>
                <w:lang w:eastAsia="it-IT"/>
              </w:rPr>
            </w:pPr>
          </w:p>
        </w:tc>
        <w:tc>
          <w:tcPr>
            <w:tcW w:w="2658" w:type="dxa"/>
          </w:tcPr>
          <w:p w:rsidR="0043177E" w:rsidRPr="00516377" w:rsidRDefault="0043177E"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E74F896"/>
    <w:name w:val="WW8Num5"/>
    <w:lvl w:ilvl="0">
      <w:start w:val="1"/>
      <w:numFmt w:val="lowerLetter"/>
      <w:lvlText w:val="%1)"/>
      <w:lvlJc w:val="left"/>
      <w:pPr>
        <w:tabs>
          <w:tab w:val="num" w:pos="0"/>
        </w:tabs>
        <w:ind w:left="718" w:hanging="360"/>
      </w:pPr>
      <w:rPr>
        <w:rFonts w:ascii="Times New Roman" w:hAnsi="Times New Roman" w:cs="Times New Roman" w:hint="default"/>
        <w:sz w:val="24"/>
        <w:szCs w:val="24"/>
      </w:rPr>
    </w:lvl>
  </w:abstractNum>
  <w:abstractNum w:abstractNumId="1">
    <w:nsid w:val="00000006"/>
    <w:multiLevelType w:val="singleLevel"/>
    <w:tmpl w:val="D6C02146"/>
    <w:name w:val="WW8Num6"/>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2">
    <w:nsid w:val="00000007"/>
    <w:multiLevelType w:val="singleLevel"/>
    <w:tmpl w:val="4FEA46A8"/>
    <w:name w:val="WW8Num7"/>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3">
    <w:nsid w:val="00000008"/>
    <w:multiLevelType w:val="singleLevel"/>
    <w:tmpl w:val="917A8E16"/>
    <w:name w:val="WW8Num8"/>
    <w:lvl w:ilvl="0">
      <w:start w:val="1"/>
      <w:numFmt w:val="lowerLetter"/>
      <w:lvlText w:val="%1)"/>
      <w:lvlJc w:val="left"/>
      <w:pPr>
        <w:tabs>
          <w:tab w:val="num" w:pos="0"/>
        </w:tabs>
        <w:ind w:left="720" w:hanging="360"/>
      </w:pPr>
      <w:rPr>
        <w:rFonts w:ascii="Times New Roman" w:hAnsi="Times New Roman" w:cs="Times New Roman" w:hint="default"/>
        <w:sz w:val="24"/>
      </w:rPr>
    </w:lvl>
  </w:abstractNum>
  <w:abstractNum w:abstractNumId="4">
    <w:nsid w:val="359430ED"/>
    <w:multiLevelType w:val="multilevel"/>
    <w:tmpl w:val="9D461098"/>
    <w:lvl w:ilvl="0">
      <w:start w:val="1"/>
      <w:numFmt w:val="decimal"/>
      <w:lvlText w:val="%1)"/>
      <w:lvlJc w:val="left"/>
      <w:pPr>
        <w:tabs>
          <w:tab w:val="num" w:pos="0"/>
        </w:tabs>
        <w:ind w:left="720" w:hanging="360"/>
      </w:pPr>
      <w:rPr>
        <w:rFonts w:ascii="Times New Roman" w:hAnsi="Times New Roman" w:cs="Times New Roman" w:hint="default"/>
        <w:b/>
        <w:sz w:val="24"/>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nsid w:val="5A7D3DD6"/>
    <w:multiLevelType w:val="singleLevel"/>
    <w:tmpl w:val="E02201AC"/>
    <w:lvl w:ilvl="0">
      <w:start w:val="1"/>
      <w:numFmt w:val="lowerLetter"/>
      <w:lvlText w:val="%1)"/>
      <w:lvlJc w:val="left"/>
      <w:pPr>
        <w:ind w:left="720" w:hanging="360"/>
      </w:pPr>
      <w:rPr>
        <w:rFonts w:ascii="Times New Roman" w:hAnsi="Times New Roman" w:cs="Times New Roman" w:hint="default"/>
        <w:sz w:val="24"/>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43177E"/>
    <w:rsid w:val="00477FF5"/>
    <w:rsid w:val="0065362A"/>
    <w:rsid w:val="006D450F"/>
    <w:rsid w:val="00F639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43177E"/>
    <w:pPr>
      <w:ind w:left="476" w:hanging="341"/>
      <w:jc w:val="both"/>
    </w:pPr>
  </w:style>
  <w:style w:type="paragraph" w:styleId="NormaleWeb">
    <w:name w:val="Normal (Web)"/>
    <w:basedOn w:val="Normale"/>
    <w:qFormat/>
    <w:rsid w:val="0043177E"/>
    <w:pPr>
      <w:widowControl/>
      <w:autoSpaceDE/>
      <w:spacing w:before="280" w:after="28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43177E"/>
    <w:pPr>
      <w:ind w:left="476" w:hanging="341"/>
      <w:jc w:val="both"/>
    </w:pPr>
  </w:style>
  <w:style w:type="paragraph" w:styleId="NormaleWeb">
    <w:name w:val="Normal (Web)"/>
    <w:basedOn w:val="Normale"/>
    <w:qFormat/>
    <w:rsid w:val="0043177E"/>
    <w:pPr>
      <w:widowControl/>
      <w:autoSpaceDE/>
      <w:spacing w:before="280" w:after="28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1513</Words>
  <Characters>8626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Raffaela Zurlo</cp:lastModifiedBy>
  <cp:revision>4</cp:revision>
  <dcterms:created xsi:type="dcterms:W3CDTF">2024-07-10T06:38:00Z</dcterms:created>
  <dcterms:modified xsi:type="dcterms:W3CDTF">2024-07-15T08:33:00Z</dcterms:modified>
</cp:coreProperties>
</file>